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both"/>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12</w:t>
      </w:r>
    </w:p>
    <w:p>
      <w:pPr>
        <w:spacing w:before="0" w:after="0" w:line="240" w:lineRule="auto"/>
        <w:ind w:firstLine="0"/>
        <w:jc w:val="both"/>
        <w:outlineLvl w:val="9"/>
        <w:rPr>
          <w:rFonts w:hint="eastAsia" w:ascii="黑体" w:hAnsi="黑体" w:eastAsia="黑体" w:cs="黑体"/>
          <w:sz w:val="32"/>
          <w:szCs w:val="32"/>
          <w:lang w:val="en-US" w:eastAsia="zh-CN"/>
        </w:rPr>
      </w:pPr>
      <w:bookmarkStart w:id="0" w:name="_GoBack"/>
      <w:bookmarkEnd w:id="0"/>
    </w:p>
    <w:p>
      <w:pPr>
        <w:spacing w:before="0" w:after="0"/>
        <w:ind w:firstLine="560"/>
        <w:jc w:val="left"/>
        <w:outlineLvl w:val="2"/>
      </w:pPr>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.关于拨付和下达2023年医疗卫生服务与保障能力提升（公立医院综合改革）补助资金（第二批）预算的通知（津财社指[2023]65号）绩效目标表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382201天津市滨海新区城乡居民基本医疗保险服务中心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关于拨付和下达2023年医疗卫生服务与保障能力提升（公立医院综合改革）补助资金（第二批）预算的通知（津财社指[2023]65号）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2800000.00</w:t>
            </w:r>
          </w:p>
        </w:tc>
        <w:tc>
          <w:tcPr>
            <w:tcW w:w="1587" w:type="dxa"/>
            <w:vAlign w:val="center"/>
          </w:tcPr>
          <w:p>
            <w:pPr>
              <w:pStyle w:val="13"/>
            </w:pPr>
            <w:r>
              <w:t>其中：财政    资金</w:t>
            </w:r>
          </w:p>
        </w:tc>
        <w:tc>
          <w:tcPr>
            <w:tcW w:w="1843" w:type="dxa"/>
            <w:vAlign w:val="center"/>
          </w:tcPr>
          <w:p>
            <w:pPr>
              <w:pStyle w:val="12"/>
            </w:pPr>
            <w:r>
              <w:t>2800000.00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2023年10月1日起在海滨人民医院紧密型医联体正式实施开展按人头总额付费改革试点，将签约居民门诊（门特）医疗费用纳入按人头总额付费核算范围，对相关工作人员开展支付方式改革培训。深化寨上街试点，根据各街镇村居具体情况开展工作，确保在北翼区域将“十五分钟医保便民服务圈”全覆盖。选取一家定点医疗机构开展信用支付工作试点。选取医疗机构、长护险机构、学校等单位进行医保服务站试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1.2023年10月1日起在海滨人民医院紧密型医联体正式实施开展按人头总额付费改革试点，将签约居民门诊（门特）医疗费用纳入按人头总额付费核算范围，对相关工作人员开展支付方式改革培训。深化寨上街试点，根据各街镇村居具体情况开展工作，确保在北翼区域将“十五分钟医保便民服务圈”全覆盖。选取一家定点医疗机构开展信用支付工作试点。选取医疗机构、长护险机构、学校等单位进行医保服务站试点。</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支付方式改革累计培训人次</w:t>
            </w:r>
          </w:p>
        </w:tc>
        <w:tc>
          <w:tcPr>
            <w:tcW w:w="3430" w:type="dxa"/>
            <w:vAlign w:val="center"/>
          </w:tcPr>
          <w:p>
            <w:pPr>
              <w:pStyle w:val="12"/>
            </w:pPr>
            <w:r>
              <w:t>支付方式改革累计培训人次</w:t>
            </w:r>
          </w:p>
        </w:tc>
        <w:tc>
          <w:tcPr>
            <w:tcW w:w="2551" w:type="dxa"/>
            <w:vAlign w:val="center"/>
          </w:tcPr>
          <w:p>
            <w:pPr>
              <w:pStyle w:val="12"/>
            </w:pPr>
            <w:r>
              <w:t>≥15人次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医保台账自助查询准确率</w:t>
            </w:r>
          </w:p>
        </w:tc>
        <w:tc>
          <w:tcPr>
            <w:tcW w:w="3430" w:type="dxa"/>
            <w:vAlign w:val="center"/>
          </w:tcPr>
          <w:p>
            <w:pPr>
              <w:pStyle w:val="12"/>
            </w:pPr>
            <w:r>
              <w:t>医保台账自助查询准确率</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手持终端入户即时结算率</w:t>
            </w:r>
          </w:p>
        </w:tc>
        <w:tc>
          <w:tcPr>
            <w:tcW w:w="3430" w:type="dxa"/>
            <w:vAlign w:val="center"/>
          </w:tcPr>
          <w:p>
            <w:pPr>
              <w:pStyle w:val="12"/>
            </w:pPr>
            <w:r>
              <w:t>手持终端入户即时结算率</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设备均价</w:t>
            </w:r>
          </w:p>
        </w:tc>
        <w:tc>
          <w:tcPr>
            <w:tcW w:w="3430" w:type="dxa"/>
            <w:vAlign w:val="center"/>
          </w:tcPr>
          <w:p>
            <w:pPr>
              <w:pStyle w:val="12"/>
            </w:pPr>
            <w:r>
              <w:t>设备均价</w:t>
            </w:r>
          </w:p>
        </w:tc>
        <w:tc>
          <w:tcPr>
            <w:tcW w:w="2551" w:type="dxa"/>
            <w:vAlign w:val="center"/>
          </w:tcPr>
          <w:p>
            <w:pPr>
              <w:pStyle w:val="12"/>
            </w:pPr>
            <w:r>
              <w:t>≤3万元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医保入户结算便利度</w:t>
            </w:r>
          </w:p>
        </w:tc>
        <w:tc>
          <w:tcPr>
            <w:tcW w:w="3430" w:type="dxa"/>
            <w:vAlign w:val="center"/>
          </w:tcPr>
          <w:p>
            <w:pPr>
              <w:pStyle w:val="12"/>
            </w:pPr>
            <w:r>
              <w:t>医保入户结算便利度</w:t>
            </w:r>
          </w:p>
        </w:tc>
        <w:tc>
          <w:tcPr>
            <w:tcW w:w="2551" w:type="dxa"/>
            <w:vAlign w:val="center"/>
          </w:tcPr>
          <w:p>
            <w:pPr>
              <w:pStyle w:val="12"/>
            </w:pPr>
            <w:r>
              <w:t>显著提升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参保人员满意度</w:t>
            </w:r>
          </w:p>
        </w:tc>
        <w:tc>
          <w:tcPr>
            <w:tcW w:w="3430" w:type="dxa"/>
            <w:vAlign w:val="center"/>
          </w:tcPr>
          <w:p>
            <w:pPr>
              <w:pStyle w:val="12"/>
            </w:pPr>
            <w:r>
              <w:t>参保人员满意度</w:t>
            </w:r>
          </w:p>
        </w:tc>
        <w:tc>
          <w:tcPr>
            <w:tcW w:w="2551" w:type="dxa"/>
            <w:vAlign w:val="center"/>
          </w:tcPr>
          <w:p>
            <w:pPr>
              <w:pStyle w:val="12"/>
            </w:pPr>
            <w:r>
              <w:t>≥90%</w:t>
            </w:r>
          </w:p>
        </w:tc>
      </w:tr>
    </w:tbl>
    <w:p/>
    <w:sectPr>
      <w:footerReference r:id="rId3" w:type="default"/>
      <w:footerReference r:id="rId4" w:type="even"/>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false"/>
  <w:bordersDoNotSurroundFooter w:val="false"/>
  <w:doNotTrackMoves/>
  <w:documentProtection w:enforcement="0"/>
  <w:defaultTabStop w:val="720"/>
  <w:evenAndOddHeaders w:val="true"/>
  <w:characterSpacingControl w:val="doNotCompress"/>
  <w:compat>
    <w:doNotLeaveBackslashAlone/>
    <w:doNotExpandShiftReturn/>
    <w:adjustLineHeightInTable/>
    <w:useFELayout/>
    <w:compatSetting w:name="compatibilityMode" w:uri="http://schemas.microsoft.com/office/word" w:val="15"/>
  </w:compat>
  <w:docVars>
    <w:docVar w:name="commondata" w:val="eyJoZGlkIjoiNjA5OTAxODU2ZmMyZmZmYmU3ZjQ4ZWExNDg3MmQ2YjkifQ=="/>
  </w:docVars>
  <w:rsids>
    <w:rsidRoot w:val="00000000"/>
    <w:rsid w:val="3A065C79"/>
    <w:rsid w:val="46AF3F7E"/>
    <w:rsid w:val="7FAF64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2"/>
    <w:basedOn w:val="1"/>
    <w:next w:val="1"/>
    <w:qFormat/>
    <w:uiPriority w:val="0"/>
    <w:pPr>
      <w:ind w:left="240"/>
    </w:p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8">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1">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Office_11.8.2.10229_F1E327BC-269C-435d-A152-05C5408002CA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2024-01-16T20:04:00Z</dcterms:created>
  <dc:creator>Administrator</dc:creator>
  <cp:lastModifiedBy>办公室</cp:lastModifiedBy>
  <dcterms:modified xsi:type="dcterms:W3CDTF">2024-02-06T09:08:42Z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DDBE6C32D6674BB98E955B83A839798F_13</vt:lpwstr>
  </property>
</Properties>
</file>