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560"/>
        <w:jc w:val="left"/>
        <w:outlineLvl w:val="2"/>
      </w:pPr>
      <w:bookmarkStart w:id="0" w:name="_GoBack"/>
      <w:bookmarkEnd w:id="0"/>
      <w:r>
        <w:rPr>
          <w:rFonts w:ascii="方正仿宋_GBK" w:hAnsi="方正仿宋_GBK" w:eastAsia="方正仿宋_GBK" w:cs="方正仿宋_GBK"/>
          <w:color w:val="000000"/>
          <w:sz w:val="28"/>
        </w:rPr>
        <w:t>1.2022-2024年滨海新区事业人员补充医疗保险费绩效目标表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382101天津市滨海新区医疗保障局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2022-2024年滨海新区事业人员补充医疗保险费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37000000.00</w:t>
            </w:r>
          </w:p>
        </w:tc>
        <w:tc>
          <w:tcPr>
            <w:tcW w:w="1587" w:type="dxa"/>
            <w:vAlign w:val="center"/>
          </w:tcPr>
          <w:p>
            <w:pPr>
              <w:pStyle w:val="13"/>
            </w:pPr>
            <w:r>
              <w:t>其中：财政    资金</w:t>
            </w:r>
          </w:p>
        </w:tc>
        <w:tc>
          <w:tcPr>
            <w:tcW w:w="1843" w:type="dxa"/>
            <w:vAlign w:val="center"/>
          </w:tcPr>
          <w:p>
            <w:pPr>
              <w:pStyle w:val="12"/>
            </w:pPr>
            <w:r>
              <w:t>37000000.00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为财政供养的事业在编人员投保商业补充医疗保险，提高事业人员医疗保险待遇和稳定干部队伍。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1.为财政供养的事业在编人员投保商业补充医疗保险，提高事业人员医疗保险待遇和稳定干部队伍。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滨海新区财政供养的事业单位在职在编及退休人员</w:t>
            </w:r>
          </w:p>
        </w:tc>
        <w:tc>
          <w:tcPr>
            <w:tcW w:w="3430" w:type="dxa"/>
            <w:vAlign w:val="center"/>
          </w:tcPr>
          <w:p>
            <w:pPr>
              <w:pStyle w:val="12"/>
            </w:pPr>
            <w:r>
              <w:t>滨海新区财政供养的事业单位在职在编及退休人员</w:t>
            </w:r>
          </w:p>
        </w:tc>
        <w:tc>
          <w:tcPr>
            <w:tcW w:w="2551" w:type="dxa"/>
            <w:vAlign w:val="center"/>
          </w:tcPr>
          <w:p>
            <w:pPr>
              <w:pStyle w:val="12"/>
            </w:pPr>
            <w:r>
              <w:t>47100人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符合条件的群体补充医疗保险覆盖率</w:t>
            </w:r>
          </w:p>
        </w:tc>
        <w:tc>
          <w:tcPr>
            <w:tcW w:w="3430" w:type="dxa"/>
            <w:vAlign w:val="center"/>
          </w:tcPr>
          <w:p>
            <w:pPr>
              <w:pStyle w:val="12"/>
            </w:pPr>
            <w:r>
              <w:t>符合条件的群体补充医疗保险覆盖率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医疗费报销准确率</w:t>
            </w:r>
          </w:p>
        </w:tc>
        <w:tc>
          <w:tcPr>
            <w:tcW w:w="3430" w:type="dxa"/>
            <w:vAlign w:val="center"/>
          </w:tcPr>
          <w:p>
            <w:pPr>
              <w:pStyle w:val="12"/>
            </w:pPr>
            <w:r>
              <w:t>医疗费报销准确率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在财政专项资金保障到位的情况下，经办机构赔付及时率</w:t>
            </w:r>
          </w:p>
        </w:tc>
        <w:tc>
          <w:tcPr>
            <w:tcW w:w="3430" w:type="dxa"/>
            <w:vAlign w:val="center"/>
          </w:tcPr>
          <w:p>
            <w:pPr>
              <w:pStyle w:val="12"/>
            </w:pPr>
            <w:r>
              <w:t>在财政专项资金保障到位的情况下，经办机构赔付及时率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滨海新区事业人员补充医疗保险保费标准</w:t>
            </w:r>
          </w:p>
        </w:tc>
        <w:tc>
          <w:tcPr>
            <w:tcW w:w="3430" w:type="dxa"/>
            <w:vAlign w:val="center"/>
          </w:tcPr>
          <w:p>
            <w:pPr>
              <w:pStyle w:val="12"/>
            </w:pPr>
            <w:r>
              <w:t>滨海新区事业人员补充医疗保险保费标准</w:t>
            </w:r>
          </w:p>
        </w:tc>
        <w:tc>
          <w:tcPr>
            <w:tcW w:w="2551" w:type="dxa"/>
            <w:vAlign w:val="center"/>
          </w:tcPr>
          <w:p>
            <w:pPr>
              <w:pStyle w:val="12"/>
            </w:pPr>
            <w:r>
              <w:t>757元/人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减轻滨海新区事业人员的医疗费用负担</w:t>
            </w:r>
          </w:p>
        </w:tc>
        <w:tc>
          <w:tcPr>
            <w:tcW w:w="3430" w:type="dxa"/>
            <w:vAlign w:val="center"/>
          </w:tcPr>
          <w:p>
            <w:pPr>
              <w:pStyle w:val="12"/>
            </w:pPr>
            <w:r>
              <w:t>减轻滨海新区事业人员的医疗费用负担</w:t>
            </w:r>
          </w:p>
        </w:tc>
        <w:tc>
          <w:tcPr>
            <w:tcW w:w="2551" w:type="dxa"/>
            <w:vAlign w:val="center"/>
          </w:tcPr>
          <w:p>
            <w:pPr>
              <w:pStyle w:val="12"/>
            </w:pPr>
            <w:r>
              <w:t>有效减轻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在财政专项资金保障到位的情况下，滨海新区财政供养的事业单位在职在编及退休人员满意度</w:t>
            </w:r>
          </w:p>
        </w:tc>
        <w:tc>
          <w:tcPr>
            <w:tcW w:w="3430" w:type="dxa"/>
            <w:vAlign w:val="center"/>
          </w:tcPr>
          <w:p>
            <w:pPr>
              <w:pStyle w:val="12"/>
            </w:pPr>
            <w:r>
              <w:t>在财政专项资金保障到位的情况下，滨海新区财政供养的事业单位在职在编及退休人员满意度</w:t>
            </w:r>
          </w:p>
        </w:tc>
        <w:tc>
          <w:tcPr>
            <w:tcW w:w="2551" w:type="dxa"/>
            <w:vAlign w:val="center"/>
          </w:tcPr>
          <w:p>
            <w:pPr>
              <w:pStyle w:val="12"/>
            </w:pPr>
            <w:r>
              <w:t>≥85%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2.关于拨付和下达2023年医疗卫生服务与保障能力提升（公立医院综合改革）补助资金（第二批）预算的通知（津财社指[2023]65号）绩效目标表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382101天津市滨海新区医疗保障局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关于拨付和下达2023年医疗卫生服务与保障能力提升（公立医院综合改革）补助资金（第二批）预算的通知（津财社指[2023]65号）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w:t>
            </w:r>
          </w:p>
        </w:tc>
        <w:tc>
          <w:tcPr>
            <w:tcW w:w="1587" w:type="dxa"/>
            <w:vAlign w:val="center"/>
          </w:tcPr>
          <w:p>
            <w:pPr>
              <w:pStyle w:val="13"/>
            </w:pPr>
            <w:r>
              <w:t>其中：财政    资金</w:t>
            </w:r>
          </w:p>
        </w:tc>
        <w:tc>
          <w:tcPr>
            <w:tcW w:w="1843" w:type="dxa"/>
            <w:vAlign w:val="center"/>
          </w:tcPr>
          <w:p>
            <w:pPr>
              <w:pStyle w:val="12"/>
            </w:pPr>
            <w:r>
              <w:t>1000.00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2023年10月1日起在海滨人民医院紧密型医联体正式实施开展按人头总额付费改革试点，将签约居民门诊（门特）医疗费用纳入按人头总额付费核算范围，对相关工作人员开展支付方式改革培训。深化寨上街试点，根据各街镇村居具体情况开展工作，确保在北翼区域将“十五分钟医保便民服务圈”全覆盖。选取一家定点医疗机构开展信用支付工作试点。选取医疗机构、长护险机构、学校等单位进行医保服务站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1.2023年10月1日起在海滨人民医院紧密型医联体正式实施开展按人头总额付费改革试点，将签约居民门诊（门特）医疗费用纳入按人头总额付费核算范围，对相关工作人员开展支付方式改革培训。深化寨上街试点，根据各街镇村居具体情况开展工作，确保在北翼区域将“十五分钟医保便民服务圈”全覆盖。选取一家定点医疗机构开展信用支付工作试点。选取医疗机构、长护险机构、学校等单位进行医保服务站试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支付方式改革累计培训人次</w:t>
            </w:r>
          </w:p>
        </w:tc>
        <w:tc>
          <w:tcPr>
            <w:tcW w:w="3430" w:type="dxa"/>
            <w:vAlign w:val="center"/>
          </w:tcPr>
          <w:p>
            <w:pPr>
              <w:pStyle w:val="12"/>
            </w:pPr>
            <w:r>
              <w:t>支付方式改革累计培训人次</w:t>
            </w:r>
          </w:p>
        </w:tc>
        <w:tc>
          <w:tcPr>
            <w:tcW w:w="2551" w:type="dxa"/>
            <w:vAlign w:val="center"/>
          </w:tcPr>
          <w:p>
            <w:pPr>
              <w:pStyle w:val="12"/>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医保台账自助查询准确率</w:t>
            </w:r>
          </w:p>
        </w:tc>
        <w:tc>
          <w:tcPr>
            <w:tcW w:w="3430" w:type="dxa"/>
            <w:vAlign w:val="center"/>
          </w:tcPr>
          <w:p>
            <w:pPr>
              <w:pStyle w:val="12"/>
            </w:pPr>
            <w:r>
              <w:t>医保台账自助查询准确率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手持终端入户即时结算率</w:t>
            </w:r>
          </w:p>
        </w:tc>
        <w:tc>
          <w:tcPr>
            <w:tcW w:w="3430" w:type="dxa"/>
            <w:vAlign w:val="center"/>
          </w:tcPr>
          <w:p>
            <w:pPr>
              <w:pStyle w:val="12"/>
            </w:pPr>
            <w:r>
              <w:t>手持终端入户即时结算率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设备均价</w:t>
            </w:r>
          </w:p>
        </w:tc>
        <w:tc>
          <w:tcPr>
            <w:tcW w:w="3430" w:type="dxa"/>
            <w:vAlign w:val="center"/>
          </w:tcPr>
          <w:p>
            <w:pPr>
              <w:pStyle w:val="12"/>
            </w:pPr>
            <w:r>
              <w:t>设备均价</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医保入户结算便利度</w:t>
            </w:r>
          </w:p>
        </w:tc>
        <w:tc>
          <w:tcPr>
            <w:tcW w:w="3430" w:type="dxa"/>
            <w:vAlign w:val="center"/>
          </w:tcPr>
          <w:p>
            <w:pPr>
              <w:pStyle w:val="12"/>
            </w:pPr>
            <w:r>
              <w:t>医保入户结算便利度</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参保人员满意度</w:t>
            </w:r>
          </w:p>
        </w:tc>
        <w:tc>
          <w:tcPr>
            <w:tcW w:w="3430" w:type="dxa"/>
            <w:vAlign w:val="center"/>
          </w:tcPr>
          <w:p>
            <w:pPr>
              <w:pStyle w:val="12"/>
            </w:pPr>
            <w:r>
              <w:t>参保人员满意度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3.医疗保障与服务能力提升补助资金（2024年直达资金）（津财社指[2023]156号）绩效目标表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382101天津市滨海新区医疗保障局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医疗保障与服务能力提升补助资金（2024年直达资金）（津财社指[2023]156号）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672000.00</w:t>
            </w:r>
          </w:p>
        </w:tc>
        <w:tc>
          <w:tcPr>
            <w:tcW w:w="1587" w:type="dxa"/>
            <w:vAlign w:val="center"/>
          </w:tcPr>
          <w:p>
            <w:pPr>
              <w:pStyle w:val="13"/>
            </w:pPr>
            <w:r>
              <w:t>其中：财政    资金</w:t>
            </w:r>
          </w:p>
        </w:tc>
        <w:tc>
          <w:tcPr>
            <w:tcW w:w="1843" w:type="dxa"/>
            <w:vAlign w:val="center"/>
          </w:tcPr>
          <w:p>
            <w:pPr>
              <w:pStyle w:val="12"/>
            </w:pPr>
            <w:r>
              <w:t>672000.00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重点用于医保信息化标准化、基金监管、经办服务体系建设等方面工作。有效提升综合监管、宣传引导、经办服务等医疗保障服务能力。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1.重点用于医保信息化标准化、基金监管、经办服务体系建设等方面工作。有效提升综合监管、宣传引导、经办服务等医疗保障服务能力。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成本指标</w:t>
            </w:r>
          </w:p>
        </w:tc>
        <w:tc>
          <w:tcPr>
            <w:tcW w:w="1332" w:type="dxa"/>
            <w:vAlign w:val="center"/>
          </w:tcPr>
          <w:p>
            <w:pPr>
              <w:pStyle w:val="12"/>
            </w:pPr>
            <w:r>
              <w:t>医疗服务与保障能力提升补助资金支出金额</w:t>
            </w:r>
          </w:p>
        </w:tc>
        <w:tc>
          <w:tcPr>
            <w:tcW w:w="3430" w:type="dxa"/>
            <w:vAlign w:val="center"/>
          </w:tcPr>
          <w:p>
            <w:pPr>
              <w:pStyle w:val="12"/>
            </w:pPr>
            <w:r>
              <w:t>医疗服务与保障能力提升补助资金支出金额</w:t>
            </w:r>
          </w:p>
        </w:tc>
        <w:tc>
          <w:tcPr>
            <w:tcW w:w="2551" w:type="dxa"/>
            <w:vAlign w:val="center"/>
          </w:tcPr>
          <w:p>
            <w:pPr>
              <w:pStyle w:val="12"/>
            </w:pPr>
            <w:r>
              <w:t>≤67.2万元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定点医药机构监督检查覆盖率</w:t>
            </w:r>
          </w:p>
        </w:tc>
        <w:tc>
          <w:tcPr>
            <w:tcW w:w="3430" w:type="dxa"/>
            <w:vAlign w:val="center"/>
          </w:tcPr>
          <w:p>
            <w:pPr>
              <w:pStyle w:val="12"/>
            </w:pPr>
            <w:r>
              <w:t>定点医药机构监督检查覆盖率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基本医保参保任务综合完成率</w:t>
            </w:r>
          </w:p>
        </w:tc>
        <w:tc>
          <w:tcPr>
            <w:tcW w:w="3430" w:type="dxa"/>
            <w:vAlign w:val="center"/>
          </w:tcPr>
          <w:p>
            <w:pPr>
              <w:pStyle w:val="12"/>
            </w:pPr>
            <w:r>
              <w:t>基本医保参保任务综合完成率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重大行政执法决定法制审核</w:t>
            </w:r>
          </w:p>
        </w:tc>
        <w:tc>
          <w:tcPr>
            <w:tcW w:w="3430" w:type="dxa"/>
            <w:vAlign w:val="center"/>
          </w:tcPr>
          <w:p>
            <w:pPr>
              <w:pStyle w:val="12"/>
            </w:pPr>
            <w:r>
              <w:t>重大行政执法决定法制审核</w:t>
            </w:r>
          </w:p>
        </w:tc>
        <w:tc>
          <w:tcPr>
            <w:tcW w:w="2551" w:type="dxa"/>
            <w:vAlign w:val="center"/>
          </w:tcPr>
          <w:p>
            <w:pPr>
              <w:pStyle w:val="12"/>
            </w:pPr>
            <w:r>
              <w:t>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能力提升工作经费到位时间</w:t>
            </w:r>
          </w:p>
        </w:tc>
        <w:tc>
          <w:tcPr>
            <w:tcW w:w="3430" w:type="dxa"/>
            <w:vAlign w:val="center"/>
          </w:tcPr>
          <w:p>
            <w:pPr>
              <w:pStyle w:val="12"/>
            </w:pPr>
            <w:r>
              <w:t>能力提升工作经费到位时间</w:t>
            </w:r>
          </w:p>
        </w:tc>
        <w:tc>
          <w:tcPr>
            <w:tcW w:w="2551" w:type="dxa"/>
            <w:vAlign w:val="center"/>
          </w:tcPr>
          <w:p>
            <w:pPr>
              <w:pStyle w:val="1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年度政务信息报送数量</w:t>
            </w:r>
          </w:p>
        </w:tc>
        <w:tc>
          <w:tcPr>
            <w:tcW w:w="3430" w:type="dxa"/>
            <w:vAlign w:val="center"/>
          </w:tcPr>
          <w:p>
            <w:pPr>
              <w:pStyle w:val="12"/>
            </w:pPr>
            <w:r>
              <w:t>年度政务信息报送数量</w:t>
            </w:r>
          </w:p>
        </w:tc>
        <w:tc>
          <w:tcPr>
            <w:tcW w:w="2551" w:type="dxa"/>
            <w:vAlign w:val="center"/>
          </w:tcPr>
          <w:p>
            <w:pPr>
              <w:pStyle w:val="12"/>
            </w:pPr>
            <w:r>
              <w:t>≥10条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医保法治能力建设</w:t>
            </w:r>
          </w:p>
        </w:tc>
        <w:tc>
          <w:tcPr>
            <w:tcW w:w="3430" w:type="dxa"/>
            <w:vAlign w:val="center"/>
          </w:tcPr>
          <w:p>
            <w:pPr>
              <w:pStyle w:val="12"/>
            </w:pPr>
            <w:r>
              <w:t>医保法治能力建设</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医保经办能力建设</w:t>
            </w:r>
          </w:p>
        </w:tc>
        <w:tc>
          <w:tcPr>
            <w:tcW w:w="3430" w:type="dxa"/>
            <w:vAlign w:val="center"/>
          </w:tcPr>
          <w:p>
            <w:pPr>
              <w:pStyle w:val="12"/>
            </w:pPr>
            <w:r>
              <w:t>医保经办能力建设</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医保综合监管建设</w:t>
            </w:r>
          </w:p>
        </w:tc>
        <w:tc>
          <w:tcPr>
            <w:tcW w:w="3430" w:type="dxa"/>
            <w:vAlign w:val="center"/>
          </w:tcPr>
          <w:p>
            <w:pPr>
              <w:pStyle w:val="12"/>
            </w:pPr>
            <w:r>
              <w:t>医保综合监管建设</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参保人员对医保服务的满意度</w:t>
            </w:r>
          </w:p>
        </w:tc>
        <w:tc>
          <w:tcPr>
            <w:tcW w:w="3430" w:type="dxa"/>
            <w:vAlign w:val="center"/>
          </w:tcPr>
          <w:p>
            <w:pPr>
              <w:pStyle w:val="12"/>
            </w:pPr>
            <w:r>
              <w:t>参保人员对医保服务的满意度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4.关于拨付和下达2023年医疗卫生服务与保障能力提升（公立医院综合改革）补助资金（第二批）预算的通知（津财社指[2023]65号）绩效目标表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382201天津市滨海新区城乡居民基本医疗保险服务中心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关于拨付和下达2023年医疗卫生服务与保障能力提升（公立医院综合改革）补助资金（第二批）预算的通知（津财社指[2023]65号）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2800000.00</w:t>
            </w:r>
          </w:p>
        </w:tc>
        <w:tc>
          <w:tcPr>
            <w:tcW w:w="1587" w:type="dxa"/>
            <w:vAlign w:val="center"/>
          </w:tcPr>
          <w:p>
            <w:pPr>
              <w:pStyle w:val="13"/>
            </w:pPr>
            <w:r>
              <w:t>其中：财政    资金</w:t>
            </w:r>
          </w:p>
        </w:tc>
        <w:tc>
          <w:tcPr>
            <w:tcW w:w="1843" w:type="dxa"/>
            <w:vAlign w:val="center"/>
          </w:tcPr>
          <w:p>
            <w:pPr>
              <w:pStyle w:val="12"/>
            </w:pPr>
            <w:r>
              <w:t>2800000.00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2023年10月1日起在海滨人民医院紧密型医联体正式实施开展按人头总额付费改革试点，将签约居民门诊（门特）医疗费用纳入按人头总额付费核算范围，对相关工作人员开展支付方式改革培训。深化寨上街试点，根据各街镇村居具体情况开展工作，确保在北翼区域将“十五分钟医保便民服务圈”全覆盖。选取一家定点医疗机构开展信用支付工作试点。选取医疗机构、长护险机构、学校等单位进行医保服务站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1.2023年10月1日起在海滨人民医院紧密型医联体正式实施开展按人头总额付费改革试点，将签约居民门诊（门特）医疗费用纳入按人头总额付费核算范围，对相关工作人员开展支付方式改革培训。深化寨上街试点，根据各街镇村居具体情况开展工作，确保在北翼区域将“十五分钟医保便民服务圈”全覆盖。选取一家定点医疗机构开展信用支付工作试点。选取医疗机构、长护险机构、学校等单位进行医保服务站试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支付方式改革累计培训人次</w:t>
            </w:r>
          </w:p>
        </w:tc>
        <w:tc>
          <w:tcPr>
            <w:tcW w:w="3430" w:type="dxa"/>
            <w:vAlign w:val="center"/>
          </w:tcPr>
          <w:p>
            <w:pPr>
              <w:pStyle w:val="12"/>
            </w:pPr>
            <w:r>
              <w:t>支付方式改革累计培训人次</w:t>
            </w:r>
          </w:p>
        </w:tc>
        <w:tc>
          <w:tcPr>
            <w:tcW w:w="2551" w:type="dxa"/>
            <w:vAlign w:val="center"/>
          </w:tcPr>
          <w:p>
            <w:pPr>
              <w:pStyle w:val="12"/>
            </w:pPr>
            <w:r>
              <w:t>≥15人次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医保台账自助查询准确率</w:t>
            </w:r>
          </w:p>
        </w:tc>
        <w:tc>
          <w:tcPr>
            <w:tcW w:w="3430" w:type="dxa"/>
            <w:vAlign w:val="center"/>
          </w:tcPr>
          <w:p>
            <w:pPr>
              <w:pStyle w:val="12"/>
            </w:pPr>
            <w:r>
              <w:t>医保台账自助查询准确率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手持终端入户即时结算率</w:t>
            </w:r>
          </w:p>
        </w:tc>
        <w:tc>
          <w:tcPr>
            <w:tcW w:w="3430" w:type="dxa"/>
            <w:vAlign w:val="center"/>
          </w:tcPr>
          <w:p>
            <w:pPr>
              <w:pStyle w:val="12"/>
            </w:pPr>
            <w:r>
              <w:t>手持终端入户即时结算率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设备均价</w:t>
            </w:r>
          </w:p>
        </w:tc>
        <w:tc>
          <w:tcPr>
            <w:tcW w:w="3430" w:type="dxa"/>
            <w:vAlign w:val="center"/>
          </w:tcPr>
          <w:p>
            <w:pPr>
              <w:pStyle w:val="12"/>
            </w:pPr>
            <w:r>
              <w:t>设备均价</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医保入户结算便利度</w:t>
            </w:r>
          </w:p>
        </w:tc>
        <w:tc>
          <w:tcPr>
            <w:tcW w:w="3430" w:type="dxa"/>
            <w:vAlign w:val="center"/>
          </w:tcPr>
          <w:p>
            <w:pPr>
              <w:pStyle w:val="12"/>
            </w:pPr>
            <w:r>
              <w:t>医保入户结算便利度</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参保人员满意度</w:t>
            </w:r>
          </w:p>
        </w:tc>
        <w:tc>
          <w:tcPr>
            <w:tcW w:w="3430" w:type="dxa"/>
            <w:vAlign w:val="center"/>
          </w:tcPr>
          <w:p>
            <w:pPr>
              <w:pStyle w:val="12"/>
            </w:pPr>
            <w:r>
              <w:t>参保人员满意度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OTAwMzQxYWQxYzQ2YmY2NWU0ZTgwY2U5NmQzY2U4ZmIifQ=="/>
  </w:docVars>
  <w:rsids>
    <w:rsidRoot w:val="00000000"/>
    <w:rsid w:val="46AF3F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qFormat/>
    <w:uiPriority w:val="0"/>
    <w:pPr>
      <w:ind w:left="24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2024-01-16T12:04:38Z</dcterms:created>
  <dcterms:modified xsi:type="dcterms:W3CDTF">2024-01-16T04:04:38Z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2024-01-16T12:04:38Z</dcterms:created>
  <dcterms:modified xsi:type="dcterms:W3CDTF">2024-01-16T04:04:38Z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2024-01-16T12:04:37Z</dcterms:created>
  <dcterms:modified xsi:type="dcterms:W3CDTF">2024-01-16T04:04:37Z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2024-01-16T12:04:38Z</dcterms:created>
  <dcterms:modified xsi:type="dcterms:W3CDTF">2024-01-16T04:04:38Z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2024-01-16T12:04:37Z</dcterms:created>
  <dcterms:modified xsi:type="dcterms:W3CDTF">2024-01-16T04:04:37Z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2024-01-16T12:04:37Z</dcterms:created>
  <dcterms:modified xsi:type="dcterms:W3CDTF">2024-01-16T04:04:37Z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8a2d42-f05c-4c60-95c6-828feafe08d2}">
  <ds:schemaRefs/>
</ds:datastoreItem>
</file>

<file path=customXml/itemProps10.xml><?xml version="1.0" encoding="utf-8"?>
<ds:datastoreItem xmlns:ds="http://schemas.openxmlformats.org/officeDocument/2006/customXml" ds:itemID="{2048663e-404c-419e-948e-f28a0764b92f}">
  <ds:schemaRefs/>
</ds:datastoreItem>
</file>

<file path=customXml/itemProps11.xml><?xml version="1.0" encoding="utf-8"?>
<ds:datastoreItem xmlns:ds="http://schemas.openxmlformats.org/officeDocument/2006/customXml" ds:itemID="{67008dd6-468a-4755-b71a-a0c533523d3e}">
  <ds:schemaRefs/>
</ds:datastoreItem>
</file>

<file path=customXml/itemProps12.xml><?xml version="1.0" encoding="utf-8"?>
<ds:datastoreItem xmlns:ds="http://schemas.openxmlformats.org/officeDocument/2006/customXml" ds:itemID="{565be883-1f7e-4da1-aaa3-d84795a118fb}">
  <ds:schemaRefs/>
</ds:datastoreItem>
</file>

<file path=customXml/itemProps2.xml><?xml version="1.0" encoding="utf-8"?>
<ds:datastoreItem xmlns:ds="http://schemas.openxmlformats.org/officeDocument/2006/customXml" ds:itemID="{e0e9df2a-6f7d-4bd3-8d8b-6d7e2cea48a9}">
  <ds:schemaRefs/>
</ds:datastoreItem>
</file>

<file path=customXml/itemProps3.xml><?xml version="1.0" encoding="utf-8"?>
<ds:datastoreItem xmlns:ds="http://schemas.openxmlformats.org/officeDocument/2006/customXml" ds:itemID="{e991ca7e-56b1-440f-b957-17eec7770435}">
  <ds:schemaRefs/>
</ds:datastoreItem>
</file>

<file path=customXml/itemProps4.xml><?xml version="1.0" encoding="utf-8"?>
<ds:datastoreItem xmlns:ds="http://schemas.openxmlformats.org/officeDocument/2006/customXml" ds:itemID="{25329178-bbea-42f8-9456-d1f8c8cd4379}">
  <ds:schemaRefs/>
</ds:datastoreItem>
</file>

<file path=customXml/itemProps5.xml><?xml version="1.0" encoding="utf-8"?>
<ds:datastoreItem xmlns:ds="http://schemas.openxmlformats.org/officeDocument/2006/customXml" ds:itemID="{bf0dde8e-f1f1-43c7-a41f-bb751dcddc4c}">
  <ds:schemaRefs/>
</ds:datastoreItem>
</file>

<file path=customXml/itemProps6.xml><?xml version="1.0" encoding="utf-8"?>
<ds:datastoreItem xmlns:ds="http://schemas.openxmlformats.org/officeDocument/2006/customXml" ds:itemID="{f300409e-cd51-444a-bed5-70311df5d3ec}">
  <ds:schemaRefs/>
</ds:datastoreItem>
</file>

<file path=customXml/itemProps7.xml><?xml version="1.0" encoding="utf-8"?>
<ds:datastoreItem xmlns:ds="http://schemas.openxmlformats.org/officeDocument/2006/customXml" ds:itemID="{966d3689-46e6-4802-88e2-0a371fd85eb8}">
  <ds:schemaRefs/>
</ds:datastoreItem>
</file>

<file path=customXml/itemProps8.xml><?xml version="1.0" encoding="utf-8"?>
<ds:datastoreItem xmlns:ds="http://schemas.openxmlformats.org/officeDocument/2006/customXml" ds:itemID="{322eeb73-3728-4339-9031-8e231482ec10}">
  <ds:schemaRefs/>
</ds:datastoreItem>
</file>

<file path=customXml/itemProps9.xml><?xml version="1.0" encoding="utf-8"?>
<ds:datastoreItem xmlns:ds="http://schemas.openxmlformats.org/officeDocument/2006/customXml" ds:itemID="{1fabd3dd-163b-4651-9094-3cedc52b6dc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2024-01-16T12:04:00Z</dcterms:created>
  <dc:creator>Administrator</dc:creator>
  <cp:lastModifiedBy>cigar 1492</cp:lastModifiedBy>
  <dcterms:modified xsi:type="dcterms:W3CDTF">2024-01-24T01:59:44Z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69E1E8494ECD482EA2930FAB46F9D3A8_12</vt:lpwstr>
  </property>
</Properties>
</file>